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EE" w:rsidRPr="00081C74" w:rsidRDefault="00081C74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  <w:r w:rsidRPr="00081C7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 xml:space="preserve">The </w:t>
      </w:r>
      <w:proofErr w:type="spellStart"/>
      <w:r w:rsidRPr="00081C7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Bretton</w:t>
      </w:r>
      <w:proofErr w:type="spellEnd"/>
      <w:r w:rsidRPr="00081C7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 xml:space="preserve"> Woods Agreement</w:t>
      </w:r>
    </w:p>
    <w:p w:rsidR="00F95EEE" w:rsidRPr="00081C74" w:rsidRDefault="00081C74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6985</wp:posOffset>
            </wp:positionV>
            <wp:extent cx="1800225" cy="990600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5EEE"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July 1944 saw delegates from 44 countries meet at a Mount Washington Hotel in </w:t>
      </w:r>
      <w:proofErr w:type="spellStart"/>
      <w:r w:rsidR="00F95EEE"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Bretton</w:t>
      </w:r>
      <w:proofErr w:type="spellEnd"/>
      <w:r w:rsidR="00F95EEE"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Woods, New Hampshire</w:t>
      </w:r>
      <w:r w:rsidR="00987CF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, USA</w:t>
      </w:r>
      <w:r w:rsidR="00F95EEE"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.  The meeting was held to look at restructuring the international financial system</w:t>
      </w: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,</w:t>
      </w:r>
      <w:r w:rsidR="00F95EEE"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post-war.  It was considered that economic conflicts between countries in the 1930s had been a large factor towards causing the World War II.</w:t>
      </w:r>
      <w:r w:rsidRPr="00081C74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:rsidR="00F95EEE" w:rsidRPr="00F95EEE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 principal negotiators at the meeting were the US, represented by the US Treasury's Harry Dexter White, and the UK's John Maynard Keynes, who was serving as UK Treasury adviser</w:t>
      </w: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.  Chairing the meeting</w:t>
      </w: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was Henry Morgenthau, the US Treasury Secretary, from the only country that was likely to emerge from the war with a strengthened economy.</w:t>
      </w:r>
    </w:p>
    <w:p w:rsidR="00F95EEE" w:rsidRPr="00081C74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 meeting was part of the process led by the US to create a new international world order based on the rule of law</w:t>
      </w: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.</w:t>
      </w:r>
    </w:p>
    <w:p w:rsidR="00F95EEE" w:rsidRPr="00081C74" w:rsidRDefault="00CB3EF4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GB"/>
        </w:rPr>
        <w:t>The conference</w:t>
      </w:r>
    </w:p>
    <w:p w:rsidR="00F95EEE" w:rsidRPr="00081C74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</w:pP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There were two key problems on the agenda to solve:</w:t>
      </w:r>
    </w:p>
    <w:p w:rsidR="00F95EEE" w:rsidRPr="00081C74" w:rsidRDefault="00F95EEE" w:rsidP="00F95E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</w:pP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The creation of a stable system of exchange rates</w:t>
      </w:r>
    </w:p>
    <w:p w:rsidR="00F95EEE" w:rsidRPr="00081C74" w:rsidRDefault="00F95EEE" w:rsidP="00F95EEE">
      <w:pPr>
        <w:pStyle w:val="ListParagraph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</w:pPr>
    </w:p>
    <w:p w:rsidR="00F95EEE" w:rsidRPr="00081C74" w:rsidRDefault="00F95EEE" w:rsidP="00F95E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</w:pP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The rebuilding of Europe’s war-damaged economies</w:t>
      </w:r>
    </w:p>
    <w:p w:rsidR="005D414F" w:rsidRPr="00081C74" w:rsidRDefault="00081C74" w:rsidP="005D41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109855</wp:posOffset>
            </wp:positionV>
            <wp:extent cx="2238375" cy="1266190"/>
            <wp:effectExtent l="19050" t="0" r="9525" b="0"/>
            <wp:wrapSquare wrapText="bothSides"/>
            <wp:docPr id="2" name="Picture 1" descr="http://cdn.static-economist.com/sites/default/files/images/2014/06/blogs/economist-explains/20140705_blp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tatic-economist.com/sites/default/files/images/2014/06/blogs/economist-explains/20140705_blp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14F"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This saw the creation of two new international organisations:</w:t>
      </w:r>
    </w:p>
    <w:p w:rsidR="007B5801" w:rsidRPr="00081C74" w:rsidRDefault="005D414F" w:rsidP="007B580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 International Monetary Fund</w:t>
      </w: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(IMF)</w:t>
      </w:r>
      <w:r w:rsidR="007B5801"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was created to tackle the first issue.  It was set-up to enforce a set of fixed exchange rates that were linked to the dollar.  </w:t>
      </w:r>
      <w:r w:rsidR="007B5801"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Countries in balance of payments difficulties could receive short-term help from the IMF to avoid devaluation, and it could sanction changes in exchange rates when necessary.</w:t>
      </w:r>
      <w:r w:rsidR="007B5801"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 The </w:t>
      </w:r>
      <w:proofErr w:type="spellStart"/>
      <w:r w:rsidR="007B5801"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Bretton</w:t>
      </w:r>
      <w:proofErr w:type="spellEnd"/>
      <w:r w:rsidR="007B5801"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Woods system, as it became known, gave the US Dollar (</w:t>
      </w:r>
      <w:r w:rsidR="007B5801"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which was linked to gold</w:t>
      </w:r>
      <w:r w:rsidR="007B5801"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)</w:t>
      </w:r>
      <w:r w:rsidR="007B5801"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- the </w:t>
      </w:r>
      <w:r w:rsidR="007B5801"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main world currency </w:t>
      </w:r>
      <w:r w:rsidR="007B5801"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allowed the US to run a trade deficit without having to devalue.</w:t>
      </w:r>
    </w:p>
    <w:p w:rsidR="007B5801" w:rsidRPr="00081C74" w:rsidRDefault="007B5801" w:rsidP="007B580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The International Bank for Reconstruction and Development (The World Bank) was also established to facilitate long-terms loans to help restore the economies destroyed by Word War II.  </w:t>
      </w:r>
    </w:p>
    <w:p w:rsidR="007B5801" w:rsidRPr="00F95EEE" w:rsidRDefault="007B5801" w:rsidP="007B580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</w:t>
      </w:r>
      <w:r w:rsidR="00081C74"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he US </w:t>
      </w: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contributed the most </w:t>
      </w:r>
      <w:r w:rsidR="00081C74"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money to both institutions and</w:t>
      </w: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gained the most voting rights, giving it a veto over major policy decisions.</w:t>
      </w: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 </w:t>
      </w: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The US also helped </w:t>
      </w: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lastRenderedPageBreak/>
        <w:t>the European recovery by contributing additional funds through the Marshall Plan when the World Bank's efforts proved inadequate.</w:t>
      </w: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 </w:t>
      </w: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World trade among developed countries grew rapidly in the 1950s and 1960s, boosting world output and raising the standard of living, especially in Europe and Japan.</w:t>
      </w: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</w:t>
      </w:r>
    </w:p>
    <w:p w:rsidR="007B5801" w:rsidRPr="00F95EEE" w:rsidRDefault="00796278" w:rsidP="007B580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GB"/>
        </w:rPr>
      </w:pPr>
      <w:r w:rsidRPr="00081C7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GB"/>
        </w:rPr>
        <w:t xml:space="preserve">The demise of </w:t>
      </w:r>
      <w:proofErr w:type="spellStart"/>
      <w:r w:rsidRPr="00081C7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GB"/>
        </w:rPr>
        <w:t>Bretton</w:t>
      </w:r>
      <w:proofErr w:type="spellEnd"/>
      <w:r w:rsidRPr="00081C7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GB"/>
        </w:rPr>
        <w:t xml:space="preserve"> Woods</w:t>
      </w:r>
    </w:p>
    <w:p w:rsidR="005D414F" w:rsidRPr="00081C74" w:rsidRDefault="00796278" w:rsidP="005D41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</w:pP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By the 1970s, the cost of the Vietnam </w:t>
      </w:r>
      <w:r w:rsidR="00CB3EF4"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War</w:t>
      </w: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and the running of trade deficits put the US Dollar under pressure.</w:t>
      </w:r>
    </w:p>
    <w:p w:rsidR="00F95EEE" w:rsidRPr="00F95EEE" w:rsidRDefault="00081C74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775335</wp:posOffset>
            </wp:positionV>
            <wp:extent cx="2333625" cy="1628775"/>
            <wp:effectExtent l="19050" t="0" r="9525" b="0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17" t="26823" r="45306" b="3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By 1971, </w:t>
      </w: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the US only had reserves of gold sufficient to cover 22% of the US dollars in issue. Before the collapse of </w:t>
      </w:r>
      <w:proofErr w:type="spellStart"/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Bretton</w:t>
      </w:r>
      <w:proofErr w:type="spellEnd"/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Woods, the French central bank was buying US dollars with French francs, and converting the US dollars into gold at US$35 per ounce. It has been estimated that the true market price of gold in 1971 should have been US$103 per ounce.  On 15</w:t>
      </w: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Pr="00081C7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August 1971, </w:t>
      </w:r>
      <w:r w:rsidR="00F95EEE"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President Nixon</w:t>
      </w:r>
      <w:r w:rsidRPr="00081C74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announced the end of the gold standard for the US dollar.</w:t>
      </w:r>
    </w:p>
    <w:p w:rsidR="00F95EEE" w:rsidRPr="00F95EEE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This led to the abandonment of fixed exchange rates and the introduction of floating rates, where the value of all the main currencies was determined by market trading.</w:t>
      </w:r>
    </w:p>
    <w:p w:rsidR="00F95EEE" w:rsidRPr="00F95EEE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Attempts to forge a new </w:t>
      </w:r>
      <w:proofErr w:type="spellStart"/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Bretton</w:t>
      </w:r>
      <w:proofErr w:type="spellEnd"/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Woods agreement on currencies in the 1970s failed, although the IMF still retained its role of helping countries cope with major currency crises - including Britain in 1976.</w:t>
      </w:r>
    </w:p>
    <w:p w:rsidR="00606F21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Financial globalisation</w:t>
      </w:r>
    </w:p>
    <w:p w:rsidR="00F95EEE" w:rsidRPr="00F95EEE" w:rsidRDefault="00606F21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</w:t>
      </w:r>
      <w:r w:rsidR="00F95EEE"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he end of</w:t>
      </w:r>
      <w:r w:rsidR="00D56180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the </w:t>
      </w:r>
      <w:proofErr w:type="spellStart"/>
      <w:r w:rsidR="00D56180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Bretton</w:t>
      </w:r>
      <w:proofErr w:type="spellEnd"/>
      <w:r w:rsidR="00D56180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Woods system saw</w:t>
      </w:r>
      <w:r w:rsidR="00F95EEE"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two decades of financial globalisation, encouraged by the deregulation not just of currency markets, but also of rules about banking and investment.</w:t>
      </w:r>
    </w:p>
    <w:p w:rsidR="00F95EEE" w:rsidRPr="00F95EEE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This led to increased flows of private money to rich and poor countries alike, which helped boost growth but also created greater instability.</w:t>
      </w:r>
    </w:p>
    <w:p w:rsidR="00F95EEE" w:rsidRPr="00F95EEE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 rapid reversal of such private sector flows when currencies were threatened with devaluation was the central cause of the Asian financial crisis in 1997-98, which spread to Russia and eventually Argentina.</w:t>
      </w:r>
    </w:p>
    <w:p w:rsidR="00F95EEE" w:rsidRPr="00F95EEE" w:rsidRDefault="00F95EEE" w:rsidP="00F95EE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 resources of the IMF proved inadequate to compensate for the run on their currencies, and the adjustment proved painful, with sharp falls in GDP.</w:t>
      </w:r>
    </w:p>
    <w:p w:rsidR="00606F21" w:rsidRDefault="00F95EEE" w:rsidP="00606F2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F95EEE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Since then, many Asian countries, including China, have accumulated large currency reserves to insulate themselves against future crises, avoiding the need to call on the IMF.</w:t>
      </w:r>
    </w:p>
    <w:p w:rsidR="00CB3EF4" w:rsidRPr="00606F21" w:rsidRDefault="00CB3EF4" w:rsidP="00606F2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CB3EF4">
        <w:rPr>
          <w:rFonts w:ascii="Century Gothic" w:hAnsi="Century Gothic"/>
          <w:b/>
          <w:sz w:val="24"/>
          <w:szCs w:val="24"/>
        </w:rPr>
        <w:lastRenderedPageBreak/>
        <w:t>Questions</w:t>
      </w:r>
      <w:r w:rsidR="00987CF9">
        <w:rPr>
          <w:rFonts w:ascii="Century Gothic" w:hAnsi="Century Gothic"/>
          <w:b/>
          <w:sz w:val="24"/>
          <w:szCs w:val="24"/>
        </w:rPr>
        <w:t>:</w:t>
      </w:r>
    </w:p>
    <w:p w:rsidR="00987CF9" w:rsidRDefault="00987CF9" w:rsidP="00987CF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What were the catalysts for the </w:t>
      </w:r>
      <w:proofErr w:type="spellStart"/>
      <w:r>
        <w:rPr>
          <w:rFonts w:ascii="Century Gothic" w:hAnsi="Century Gothic"/>
          <w:b/>
          <w:sz w:val="24"/>
          <w:szCs w:val="24"/>
        </w:rPr>
        <w:t>Bretton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Woods meeting?</w:t>
      </w:r>
    </w:p>
    <w:p w:rsidR="00987CF9" w:rsidRDefault="00987CF9" w:rsidP="00987CF9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CF9" w:rsidRDefault="00987CF9" w:rsidP="00987CF9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</w:p>
    <w:p w:rsidR="00466BE6" w:rsidRPr="00987CF9" w:rsidRDefault="00466BE6" w:rsidP="00987CF9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</w:p>
    <w:p w:rsidR="00987CF9" w:rsidRDefault="00987CF9" w:rsidP="00987CF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987CF9">
        <w:rPr>
          <w:rFonts w:ascii="Century Gothic" w:hAnsi="Century Gothic"/>
          <w:b/>
          <w:sz w:val="24"/>
          <w:szCs w:val="24"/>
        </w:rPr>
        <w:t xml:space="preserve">In one sentence, describe the how the </w:t>
      </w:r>
      <w:proofErr w:type="spellStart"/>
      <w:r w:rsidRPr="00987CF9">
        <w:rPr>
          <w:rFonts w:ascii="Century Gothic" w:hAnsi="Century Gothic"/>
          <w:b/>
          <w:sz w:val="24"/>
          <w:szCs w:val="24"/>
        </w:rPr>
        <w:t>Bretton</w:t>
      </w:r>
      <w:proofErr w:type="spellEnd"/>
      <w:r w:rsidRPr="00987CF9">
        <w:rPr>
          <w:rFonts w:ascii="Century Gothic" w:hAnsi="Century Gothic"/>
          <w:b/>
          <w:sz w:val="24"/>
          <w:szCs w:val="24"/>
        </w:rPr>
        <w:t xml:space="preserve"> Woods Agreement solved the issue of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 xml:space="preserve"> creating a </w:t>
      </w:r>
      <w:r w:rsidRPr="00987CF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stable system of exchange rates;</w:t>
      </w:r>
    </w:p>
    <w:p w:rsidR="00987CF9" w:rsidRDefault="00987CF9" w:rsidP="00987CF9">
      <w:pPr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BE6" w:rsidRDefault="00466BE6" w:rsidP="00987CF9">
      <w:pPr>
        <w:ind w:left="360"/>
      </w:pPr>
    </w:p>
    <w:p w:rsidR="00987CF9" w:rsidRDefault="00987CF9" w:rsidP="00987CF9">
      <w:pPr>
        <w:pStyle w:val="ListParagraph"/>
        <w:numPr>
          <w:ilvl w:val="0"/>
          <w:numId w:val="2"/>
        </w:numPr>
      </w:pPr>
      <w:r w:rsidRPr="00987CF9">
        <w:rPr>
          <w:rFonts w:ascii="Century Gothic" w:hAnsi="Century Gothic"/>
          <w:b/>
          <w:sz w:val="24"/>
          <w:szCs w:val="24"/>
        </w:rPr>
        <w:t>Why did President Nixon announce the end of the Bretton Woods Agreement in 1971?</w:t>
      </w:r>
    </w:p>
    <w:p w:rsidR="00987CF9" w:rsidRDefault="00987CF9" w:rsidP="00987CF9">
      <w:pPr>
        <w:pStyle w:val="ListParagraph"/>
        <w:ind w:left="360"/>
      </w:pPr>
      <w:r w:rsidRPr="00987CF9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BE6" w:rsidRPr="00987CF9" w:rsidRDefault="00466BE6" w:rsidP="00606F21"/>
    <w:p w:rsidR="00987CF9" w:rsidRPr="00987CF9" w:rsidRDefault="00987CF9" w:rsidP="00987CF9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  <w:b/>
          <w:sz w:val="24"/>
          <w:szCs w:val="24"/>
        </w:rPr>
        <w:t>Following the abandonment of the agreement, how did exchange rates work?</w:t>
      </w:r>
    </w:p>
    <w:p w:rsidR="00987CF9" w:rsidRDefault="00987CF9" w:rsidP="00987CF9">
      <w:pPr>
        <w:pStyle w:val="ListParagraph"/>
        <w:ind w:left="360"/>
      </w:pPr>
      <w:r w:rsidRPr="00987CF9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BE6" w:rsidRDefault="00466BE6" w:rsidP="00466BE6">
      <w:pPr>
        <w:pStyle w:val="ListParagraph"/>
        <w:ind w:left="360"/>
      </w:pPr>
    </w:p>
    <w:p w:rsidR="00606F21" w:rsidRDefault="00606F21" w:rsidP="00606F21">
      <w:pPr>
        <w:pStyle w:val="ListParagraph"/>
        <w:ind w:left="360"/>
        <w:rPr>
          <w:rFonts w:ascii="Century Gothic" w:hAnsi="Century Gothic"/>
          <w:b/>
        </w:rPr>
      </w:pPr>
    </w:p>
    <w:p w:rsidR="00606F21" w:rsidRDefault="00606F21" w:rsidP="00606F21">
      <w:pPr>
        <w:pStyle w:val="ListParagraph"/>
        <w:ind w:left="360"/>
        <w:rPr>
          <w:rFonts w:ascii="Century Gothic" w:hAnsi="Century Gothic"/>
          <w:b/>
        </w:rPr>
      </w:pPr>
    </w:p>
    <w:p w:rsidR="00466BE6" w:rsidRDefault="00606F21" w:rsidP="00606F2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606F21">
        <w:rPr>
          <w:rFonts w:ascii="Century Gothic" w:hAnsi="Century Gothic"/>
          <w:b/>
        </w:rPr>
        <w:t xml:space="preserve">Can you think of anything similar to the </w:t>
      </w:r>
      <w:proofErr w:type="spellStart"/>
      <w:r w:rsidRPr="00606F21">
        <w:rPr>
          <w:rFonts w:ascii="Century Gothic" w:hAnsi="Century Gothic"/>
          <w:b/>
        </w:rPr>
        <w:t>Bretton</w:t>
      </w:r>
      <w:proofErr w:type="spellEnd"/>
      <w:r w:rsidRPr="00606F21">
        <w:rPr>
          <w:rFonts w:ascii="Century Gothic" w:hAnsi="Century Gothic"/>
          <w:b/>
        </w:rPr>
        <w:t xml:space="preserve"> Woods Agreement that exists today?</w:t>
      </w:r>
    </w:p>
    <w:p w:rsidR="00606F21" w:rsidRPr="00606F21" w:rsidRDefault="00606F21" w:rsidP="00606F21">
      <w:pPr>
        <w:pStyle w:val="ListParagraph"/>
        <w:ind w:left="360"/>
      </w:pPr>
      <w:r w:rsidRPr="00987CF9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6F21" w:rsidRPr="00606F21" w:rsidSect="00E9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67F"/>
    <w:multiLevelType w:val="hybridMultilevel"/>
    <w:tmpl w:val="6A90B270"/>
    <w:lvl w:ilvl="0" w:tplc="EEF866E6">
      <w:start w:val="1"/>
      <w:numFmt w:val="decimal"/>
      <w:lvlText w:val="%1."/>
      <w:lvlJc w:val="left"/>
      <w:pPr>
        <w:ind w:left="360" w:hanging="360"/>
      </w:pPr>
      <w:rPr>
        <w:rFonts w:cs="Aharon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114E58"/>
    <w:multiLevelType w:val="hybridMultilevel"/>
    <w:tmpl w:val="309888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EEE"/>
    <w:rsid w:val="00081C74"/>
    <w:rsid w:val="00342DE0"/>
    <w:rsid w:val="00466BE6"/>
    <w:rsid w:val="005D414F"/>
    <w:rsid w:val="00606F21"/>
    <w:rsid w:val="00782FFC"/>
    <w:rsid w:val="00796278"/>
    <w:rsid w:val="007B5801"/>
    <w:rsid w:val="00987CF9"/>
    <w:rsid w:val="00B05B17"/>
    <w:rsid w:val="00C0619D"/>
    <w:rsid w:val="00CB3EF4"/>
    <w:rsid w:val="00D56180"/>
    <w:rsid w:val="00E92614"/>
    <w:rsid w:val="00EB5850"/>
    <w:rsid w:val="00F3497C"/>
    <w:rsid w:val="00F9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EEE"/>
  </w:style>
  <w:style w:type="paragraph" w:styleId="NormalWeb">
    <w:name w:val="Normal (Web)"/>
    <w:basedOn w:val="Normal"/>
    <w:uiPriority w:val="99"/>
    <w:semiHidden/>
    <w:unhideWhenUsed/>
    <w:rsid w:val="00F9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707">
          <w:marLeft w:val="0"/>
          <w:marRight w:val="20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676">
          <w:marLeft w:val="750"/>
          <w:marRight w:val="750"/>
          <w:marTop w:val="300"/>
          <w:marBottom w:val="3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166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11</cp:revision>
  <dcterms:created xsi:type="dcterms:W3CDTF">2015-08-20T14:20:00Z</dcterms:created>
  <dcterms:modified xsi:type="dcterms:W3CDTF">2015-08-21T14:13:00Z</dcterms:modified>
</cp:coreProperties>
</file>